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0" w:rsidRDefault="00A06560" w:rsidP="00A06560">
      <w:pPr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Р И К А З  № </w:t>
      </w:r>
      <w:r w:rsidR="00376CD2">
        <w:rPr>
          <w:sz w:val="28"/>
          <w:szCs w:val="24"/>
        </w:rPr>
        <w:t>36</w:t>
      </w:r>
    </w:p>
    <w:p w:rsidR="00A06560" w:rsidRDefault="00A06560" w:rsidP="00A0656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по Краснохолмскому </w:t>
      </w:r>
      <w:proofErr w:type="spellStart"/>
      <w:r>
        <w:rPr>
          <w:sz w:val="28"/>
          <w:szCs w:val="24"/>
        </w:rPr>
        <w:t>райфинотделу</w:t>
      </w:r>
      <w:proofErr w:type="spellEnd"/>
    </w:p>
    <w:p w:rsidR="00A06560" w:rsidRDefault="00A06560" w:rsidP="00A06560">
      <w:pPr>
        <w:jc w:val="center"/>
        <w:rPr>
          <w:sz w:val="28"/>
          <w:szCs w:val="24"/>
        </w:rPr>
      </w:pPr>
    </w:p>
    <w:p w:rsidR="00A06560" w:rsidRDefault="00A06560" w:rsidP="00A06560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376CD2">
        <w:rPr>
          <w:sz w:val="28"/>
          <w:szCs w:val="24"/>
        </w:rPr>
        <w:t>11</w:t>
      </w:r>
      <w:r>
        <w:rPr>
          <w:sz w:val="28"/>
          <w:szCs w:val="24"/>
        </w:rPr>
        <w:t xml:space="preserve"> ноября 2013 года</w:t>
      </w:r>
    </w:p>
    <w:p w:rsidR="00A06560" w:rsidRDefault="00A06560" w:rsidP="00A06560">
      <w:pPr>
        <w:pStyle w:val="3"/>
      </w:pPr>
    </w:p>
    <w:p w:rsidR="00A06560" w:rsidRDefault="00A06560" w:rsidP="00A06560">
      <w:pPr>
        <w:pStyle w:val="3"/>
      </w:pPr>
    </w:p>
    <w:p w:rsidR="00A06560" w:rsidRDefault="00A06560" w:rsidP="00A0656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применения </w:t>
      </w:r>
    </w:p>
    <w:p w:rsidR="00A06560" w:rsidRDefault="00A06560" w:rsidP="00A0656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целевых статей  расходов бюджета  </w:t>
      </w:r>
    </w:p>
    <w:p w:rsidR="00A06560" w:rsidRDefault="00A06560" w:rsidP="00A0656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Краснохолмского района </w:t>
      </w:r>
    </w:p>
    <w:p w:rsidR="00A06560" w:rsidRDefault="00A06560" w:rsidP="00A06560">
      <w:pPr>
        <w:pStyle w:val="3"/>
        <w:rPr>
          <w:b/>
        </w:rPr>
      </w:pPr>
    </w:p>
    <w:p w:rsidR="00A06560" w:rsidRDefault="00A06560" w:rsidP="00A06560">
      <w:pPr>
        <w:pStyle w:val="3"/>
      </w:pPr>
    </w:p>
    <w:p w:rsidR="00A06560" w:rsidRDefault="00A06560" w:rsidP="00A06560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полномочий, установленных стать</w:t>
      </w:r>
      <w:r w:rsidR="00376CD2">
        <w:rPr>
          <w:sz w:val="28"/>
          <w:szCs w:val="28"/>
        </w:rPr>
        <w:t>ями</w:t>
      </w:r>
      <w:r>
        <w:rPr>
          <w:sz w:val="28"/>
          <w:szCs w:val="28"/>
        </w:rPr>
        <w:t xml:space="preserve"> 9 и 21 Бюджетного Кодекса Российской Федерации,</w:t>
      </w:r>
    </w:p>
    <w:p w:rsidR="00A06560" w:rsidRDefault="00A06560" w:rsidP="00A06560">
      <w:pPr>
        <w:pStyle w:val="3"/>
        <w:spacing w:line="360" w:lineRule="auto"/>
        <w:ind w:firstLine="708"/>
        <w:jc w:val="both"/>
      </w:pPr>
    </w:p>
    <w:p w:rsidR="00A06560" w:rsidRDefault="00A06560" w:rsidP="00A06560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06560" w:rsidRDefault="00A06560" w:rsidP="00A06560">
      <w:pPr>
        <w:pStyle w:val="3"/>
        <w:ind w:firstLine="708"/>
        <w:jc w:val="center"/>
      </w:pPr>
    </w:p>
    <w:p w:rsidR="00A06560" w:rsidRDefault="00A06560" w:rsidP="00A06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применения целевых статей расходов бюджета Краснохолмского района (прилагается).</w:t>
      </w:r>
    </w:p>
    <w:p w:rsidR="00A06560" w:rsidRDefault="00A06560" w:rsidP="00A06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довести в электронном виде до сведения </w:t>
      </w:r>
      <w:r w:rsidR="00376CD2">
        <w:rPr>
          <w:sz w:val="28"/>
          <w:szCs w:val="28"/>
        </w:rPr>
        <w:t xml:space="preserve">главных распорядителей, </w:t>
      </w:r>
      <w:r>
        <w:rPr>
          <w:sz w:val="28"/>
          <w:szCs w:val="28"/>
        </w:rPr>
        <w:t>распорядителей (прямых получателей) средств бюджета.</w:t>
      </w:r>
    </w:p>
    <w:p w:rsidR="00A06560" w:rsidRDefault="00A06560" w:rsidP="00A06560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376CD2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бюджетн</w:t>
      </w:r>
      <w:r w:rsidR="00376C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376CD2">
        <w:rPr>
          <w:sz w:val="28"/>
          <w:szCs w:val="28"/>
        </w:rPr>
        <w:t>а Н.Н. Каткову</w:t>
      </w:r>
      <w:r>
        <w:rPr>
          <w:sz w:val="28"/>
          <w:szCs w:val="28"/>
        </w:rPr>
        <w:t>.</w:t>
      </w:r>
    </w:p>
    <w:p w:rsidR="00A06560" w:rsidRDefault="00A06560" w:rsidP="00A06560">
      <w:pPr>
        <w:pStyle w:val="3"/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>. Настоящий приказ вступает в силу со дня его подписания, распространяет свое действие на правоотношения, возникшие с 1 января 2014 года, и подлежит официальному опубликованию.</w:t>
      </w:r>
    </w:p>
    <w:p w:rsidR="00A06560" w:rsidRDefault="00A06560" w:rsidP="00A06560">
      <w:pPr>
        <w:pStyle w:val="3"/>
        <w:spacing w:line="360" w:lineRule="auto"/>
        <w:jc w:val="both"/>
      </w:pPr>
    </w:p>
    <w:p w:rsidR="00A06560" w:rsidRDefault="00A06560" w:rsidP="00A06560">
      <w:pPr>
        <w:pStyle w:val="3"/>
        <w:spacing w:line="360" w:lineRule="auto"/>
        <w:jc w:val="both"/>
      </w:pPr>
    </w:p>
    <w:p w:rsidR="00A06560" w:rsidRDefault="00A06560" w:rsidP="00A06560">
      <w:pPr>
        <w:pStyle w:val="3"/>
        <w:spacing w:line="360" w:lineRule="auto"/>
        <w:jc w:val="both"/>
      </w:pPr>
    </w:p>
    <w:p w:rsidR="00A06560" w:rsidRDefault="00A06560" w:rsidP="00A06560">
      <w:pPr>
        <w:keepNext/>
        <w:tabs>
          <w:tab w:val="left" w:pos="1305"/>
        </w:tabs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Заведующий </w:t>
      </w:r>
      <w:proofErr w:type="spellStart"/>
      <w:r>
        <w:rPr>
          <w:sz w:val="28"/>
          <w:szCs w:val="24"/>
        </w:rPr>
        <w:t>райфинотделом</w:t>
      </w:r>
      <w:proofErr w:type="spellEnd"/>
      <w:r>
        <w:rPr>
          <w:sz w:val="28"/>
          <w:szCs w:val="24"/>
        </w:rPr>
        <w:t xml:space="preserve">                                                 С.С. Куликова</w:t>
      </w:r>
    </w:p>
    <w:p w:rsidR="00A06560" w:rsidRDefault="00A06560" w:rsidP="00A06560">
      <w:pPr>
        <w:pStyle w:val="3"/>
        <w:jc w:val="both"/>
        <w:rPr>
          <w:sz w:val="28"/>
          <w:szCs w:val="28"/>
        </w:rPr>
      </w:pPr>
    </w:p>
    <w:p w:rsidR="00A06560" w:rsidRDefault="00A06560" w:rsidP="00A06560">
      <w:pPr>
        <w:pStyle w:val="3"/>
        <w:jc w:val="both"/>
        <w:rPr>
          <w:sz w:val="28"/>
          <w:szCs w:val="28"/>
        </w:rPr>
      </w:pPr>
    </w:p>
    <w:p w:rsidR="00A06560" w:rsidRDefault="00A06560" w:rsidP="00A06560">
      <w:pPr>
        <w:pStyle w:val="3"/>
        <w:jc w:val="both"/>
        <w:rPr>
          <w:sz w:val="28"/>
          <w:szCs w:val="28"/>
        </w:rPr>
      </w:pPr>
    </w:p>
    <w:p w:rsidR="00A06560" w:rsidRDefault="00A06560" w:rsidP="00A06560">
      <w:pPr>
        <w:pStyle w:val="3"/>
        <w:jc w:val="both"/>
        <w:rPr>
          <w:sz w:val="28"/>
          <w:szCs w:val="28"/>
        </w:rPr>
      </w:pPr>
    </w:p>
    <w:p w:rsidR="00A06560" w:rsidRDefault="00A06560" w:rsidP="00A06560">
      <w:pPr>
        <w:pStyle w:val="3"/>
        <w:jc w:val="both"/>
        <w:rPr>
          <w:sz w:val="28"/>
          <w:szCs w:val="28"/>
        </w:rPr>
      </w:pPr>
    </w:p>
    <w:p w:rsidR="00A06560" w:rsidRDefault="00A06560" w:rsidP="00A065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06560" w:rsidRDefault="00A06560" w:rsidP="00A065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по Краснохолмскому</w:t>
      </w:r>
    </w:p>
    <w:p w:rsidR="00A06560" w:rsidRDefault="00A06560" w:rsidP="00A065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райфинотделу</w:t>
      </w:r>
      <w:proofErr w:type="spellEnd"/>
    </w:p>
    <w:p w:rsidR="00A06560" w:rsidRDefault="001B74FF" w:rsidP="00A06560">
      <w:pPr>
        <w:pStyle w:val="ConsPlusNormal"/>
        <w:ind w:left="57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</w:t>
      </w:r>
      <w:r w:rsidR="00A06560">
        <w:rPr>
          <w:rFonts w:ascii="Times New Roman" w:hAnsi="Times New Roman"/>
          <w:sz w:val="24"/>
          <w:szCs w:val="24"/>
        </w:rPr>
        <w:t>2013  №</w:t>
      </w:r>
      <w:r>
        <w:rPr>
          <w:rFonts w:ascii="Times New Roman" w:hAnsi="Times New Roman"/>
          <w:sz w:val="24"/>
          <w:szCs w:val="24"/>
        </w:rPr>
        <w:t xml:space="preserve"> 36</w:t>
      </w:r>
      <w:r w:rsidR="00A06560">
        <w:rPr>
          <w:rFonts w:ascii="Times New Roman" w:hAnsi="Times New Roman"/>
          <w:sz w:val="24"/>
          <w:szCs w:val="24"/>
        </w:rPr>
        <w:t xml:space="preserve"> </w:t>
      </w:r>
    </w:p>
    <w:p w:rsidR="00A06560" w:rsidRDefault="00A06560" w:rsidP="00A06560">
      <w:pPr>
        <w:pStyle w:val="ConsPlusNormal"/>
        <w:ind w:left="5387" w:firstLine="0"/>
        <w:jc w:val="right"/>
        <w:rPr>
          <w:rFonts w:ascii="Times New Roman" w:hAnsi="Times New Roman"/>
          <w:sz w:val="24"/>
          <w:szCs w:val="24"/>
        </w:rPr>
      </w:pPr>
    </w:p>
    <w:p w:rsidR="00A06560" w:rsidRDefault="00A06560" w:rsidP="00A0656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6560" w:rsidRDefault="00A06560" w:rsidP="00A0656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6560" w:rsidRDefault="00A06560" w:rsidP="00A0656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06560" w:rsidRDefault="00A06560" w:rsidP="00A0656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целевых статей расходов бюджета </w:t>
      </w:r>
    </w:p>
    <w:p w:rsidR="00A06560" w:rsidRDefault="00A06560" w:rsidP="00A0656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Краснохолмского района </w:t>
      </w:r>
    </w:p>
    <w:p w:rsidR="00A06560" w:rsidRDefault="00A06560" w:rsidP="00A06560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06560" w:rsidRDefault="00A06560" w:rsidP="00A0656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06560" w:rsidRDefault="00A06560" w:rsidP="00A0656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A06560" w:rsidRDefault="00A06560" w:rsidP="00A0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Настоящий Порядок </w:t>
      </w:r>
      <w:proofErr w:type="gramStart"/>
      <w:r>
        <w:rPr>
          <w:rFonts w:eastAsia="Calibri"/>
          <w:sz w:val="28"/>
          <w:szCs w:val="28"/>
          <w:lang w:eastAsia="en-US"/>
        </w:rPr>
        <w:t>применения целевых статей расходов бюджета Краснохолмского 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разработан в соответствии с положениями Бюджетного кодекса Российской Федерации и приказом Министерства финансов Российской Федерации от 01.07.2013 № 65н «Об утверждении Указаний о порядке применения бюджетной классификации».</w:t>
      </w:r>
    </w:p>
    <w:p w:rsidR="00A06560" w:rsidRDefault="00A06560" w:rsidP="00A0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Целевые статьи обеспечивают привязку бюджетных ассигнований к конкретным направлениям деятельности участников бюджетного процесса Краснохолмского района в пределах подразделов классификации расходов бюджета. Перечень целевых статей утверждается в составе ведомственной структуры расходов законом о бюджете Краснохолмского района на очередной финансовый год и плановый период</w:t>
      </w:r>
      <w:r w:rsidR="008F121C">
        <w:rPr>
          <w:rFonts w:eastAsia="Calibri"/>
          <w:sz w:val="28"/>
          <w:szCs w:val="28"/>
          <w:lang w:eastAsia="en-US"/>
        </w:rPr>
        <w:t xml:space="preserve"> (</w:t>
      </w:r>
      <w:bookmarkStart w:id="0" w:name="_GoBack"/>
      <w:bookmarkEnd w:id="0"/>
      <w:r w:rsidR="008F121C">
        <w:rPr>
          <w:rFonts w:eastAsia="Calibri"/>
          <w:sz w:val="28"/>
          <w:szCs w:val="28"/>
          <w:lang w:eastAsia="en-US"/>
        </w:rPr>
        <w:t>прилагается)</w:t>
      </w:r>
      <w:r>
        <w:rPr>
          <w:rFonts w:eastAsia="Calibri"/>
          <w:sz w:val="28"/>
          <w:szCs w:val="28"/>
          <w:lang w:eastAsia="en-US"/>
        </w:rPr>
        <w:t>.</w:t>
      </w:r>
    </w:p>
    <w:p w:rsidR="00A06560" w:rsidRDefault="00A06560" w:rsidP="00A0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Код целевой статьи расходов (далее – КЦСР) состоит из 7 разрядов.</w:t>
      </w:r>
    </w:p>
    <w:p w:rsidR="00A06560" w:rsidRDefault="00A06560" w:rsidP="00A0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Структура КЦСР представлена в виде трех составных частей.</w:t>
      </w:r>
    </w:p>
    <w:p w:rsidR="00A06560" w:rsidRDefault="00A06560" w:rsidP="00A065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925"/>
        <w:gridCol w:w="5681"/>
      </w:tblGrid>
      <w:tr w:rsidR="00A0656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КЦСР</w:t>
            </w:r>
          </w:p>
        </w:tc>
      </w:tr>
      <w:tr w:rsidR="00A0656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(непрограммные мероприятия)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расходов</w:t>
            </w:r>
          </w:p>
        </w:tc>
      </w:tr>
      <w:tr w:rsidR="00A0656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Default="00A06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 – 7 </w:t>
            </w:r>
          </w:p>
        </w:tc>
      </w:tr>
    </w:tbl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Разряды 1 и 2 предназначены для кодировки муниципальных программ Краснохолмского района, а также не включенных в муниципальные программы Краснохолмского района  мероприятий (далее - непрограммные мероприятия). Для кодировки программ использовать цифры: с 01 по 89. Для кодировки непрограммных расходов использовать цифры - 99.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Разряд 3 семизначного кода целевой статьи предназначен </w:t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кодировки подпрограммы в рамках муниципальной программы Краснохолмского района; использовать цифры с 1 по 9, при этом цифра «9» обозначает обеспечивающую подпрограмму.   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детализации расходов, не включенных в муниципальные программы Краснохолмского района, в том числе: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«1» – средства на реализацию мероприятий по обращениям, поступающим к депутатам Собрания депутатов Краснохолмского района;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«2» – резервные фонды местных администраций;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«3» - прочие выплаты по обязательствам государства;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«4» - мероприятия, не включенные в муниципальные программы Краснохолмского района;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«5» - средства областного бюджета, не включенные в муниципальные программы;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«9» – расходы на обеспечение деятельности представительного органа.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Разряды с 4 по 7 предназначены для кодировки направлений расходования средств, конкретизирующих (при необходимости) отдельные мероприятия (в первую очередь это касается межбюджетных трансфертов, предоставляемых за счет местного бюджета, публичных нормативных обязательств).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Разряд 4 предназначен для кодировки направлений расходов и отражения целевых межбюджетных трансфертов: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«1» – отдельные мероприятия в рамках муниципальных программ;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«2» – содержание сети подведомственных учреждений;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«4» – субсидии юридическим лицам, не являющимся муниципальными учреждениями;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«61», «63», «65» – капитальные вложения и капитальный ремонт;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«77», «78» – межбюджетные трансферты;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«8» – публично-нормативные обязательства;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«9» – обеспечивающие расходы.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Коды целевых статей расходов бюджетов, содержащие в 4 разрядах кода значение 3001 - 3999 и 5001 - 5999 (коды направления расходов бюджета)  используются исключительно для отражения расходов бюджета муниципального  образования,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Коды целевых статей расходов бюджетов, содержащие в 4 - 7 разрядах кода значение 6200 – 6299, 6400 – 6999 и 7000 - 7699 (коды направления расходов бюджета) используются исключительно для отражения расходов бюджета муниципального образования, источником финансового обеспечения которых являются межбюджетные трансферты, предоставляемые из областного бюджета Тверской области.</w:t>
      </w:r>
    </w:p>
    <w:p w:rsidR="00A06560" w:rsidRDefault="00A06560" w:rsidP="00A065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Отражение расходов муниципального образования, источником финансового обеспечения которого являются субсидии, субвенции, иные межбюджетные трансферты, имеющие целевое назначение, предоставляемые из областного бюджета (далее – целевые межбюджетные трансферты), осуществляется по целевым статьям расходов бюджета муниципального образования, включаемым коды направлений расходов (4 - 7 разряды кода целевой статьи расходов бюджетов), идентичные коду соответствующих направлений расходов областного бюджета, по которым отражаются расходы областного бюджета на предоставление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вышеуказанных межбюджетных трансфертов. При этом наименование указанного направления расходов муниципального бюджета (наименование целевой статьи, содержащей соответствующее направление расходов бюджета) не включает указание на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наименование областного трансферта, являющегося источником финансового обеспечения расходов соответствующего бюджета. </w:t>
      </w:r>
    </w:p>
    <w:p w:rsidR="00A06560" w:rsidRDefault="00A06560" w:rsidP="00A065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>
        <w:rPr>
          <w:rFonts w:eastAsia="Calibri"/>
          <w:sz w:val="28"/>
          <w:szCs w:val="28"/>
          <w:lang w:eastAsia="en-US"/>
        </w:rPr>
        <w:t>Отражение расходов бюджета муниципального образования, осуществляемых за счет остатков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целевых межбюджетных трансфертов прошлых лет при отсутствии у субъекта расходных обязательств по предоставлению в текущем финансовом году целевых межбюджетных трансфертов на указанные цели и производятся по направлению расходов 9998 «Прочие мероприятия, осуществляемые за счет межбюджетных трансфертов прошлых лет из федерального бюджета», 9999 «Прочие мероприятия, осуществляемые за счет межбюджетных трансфертов прошлых лет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 областного бюджета».</w:t>
      </w:r>
    </w:p>
    <w:p w:rsidR="00A06560" w:rsidRDefault="00A06560" w:rsidP="00A065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065906" w:rsidRDefault="00065906" w:rsidP="00A06560"/>
    <w:sectPr w:rsidR="0006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73"/>
    <w:rsid w:val="00065906"/>
    <w:rsid w:val="001B74FF"/>
    <w:rsid w:val="00335373"/>
    <w:rsid w:val="00376CD2"/>
    <w:rsid w:val="008F121C"/>
    <w:rsid w:val="00A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6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560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">
    <w:name w:val="документ3"/>
    <w:basedOn w:val="a"/>
    <w:rsid w:val="00A0656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B7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6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560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">
    <w:name w:val="документ3"/>
    <w:basedOn w:val="a"/>
    <w:rsid w:val="00A0656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B7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2013-11-12T07:33:00Z</cp:lastPrinted>
  <dcterms:created xsi:type="dcterms:W3CDTF">2013-11-12T06:47:00Z</dcterms:created>
  <dcterms:modified xsi:type="dcterms:W3CDTF">2013-11-12T07:34:00Z</dcterms:modified>
</cp:coreProperties>
</file>